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09DD" w:rsidRDefault="003709DD">
      <w:pPr>
        <w:shd w:val="clear" w:color="auto" w:fill="FFFFFF"/>
        <w:ind w:left="14"/>
        <w:jc w:val="center"/>
        <w:rPr>
          <w:lang w:val="en-US"/>
        </w:rPr>
      </w:pPr>
      <w:proofErr w:type="spellStart"/>
      <w:r>
        <w:rPr>
          <w:color w:val="000000"/>
          <w:spacing w:val="-20"/>
          <w:sz w:val="22"/>
          <w:szCs w:val="22"/>
          <w:lang w:val="en-US"/>
        </w:rPr>
        <w:t>Seite</w:t>
      </w:r>
      <w:proofErr w:type="spellEnd"/>
      <w:r>
        <w:rPr>
          <w:color w:val="000000"/>
          <w:spacing w:val="-20"/>
          <w:sz w:val="22"/>
          <w:szCs w:val="22"/>
          <w:lang w:val="en-US"/>
        </w:rPr>
        <w:t xml:space="preserve"> 2 von 3</w:t>
      </w:r>
    </w:p>
    <w:p w:rsidR="00000000" w:rsidRPr="003709DD" w:rsidRDefault="003709DD">
      <w:pPr>
        <w:shd w:val="clear" w:color="auto" w:fill="FFFFFF"/>
        <w:spacing w:before="586" w:line="254" w:lineRule="exact"/>
        <w:ind w:left="19"/>
        <w:jc w:val="both"/>
        <w:rPr>
          <w:lang w:val="en-US"/>
        </w:rPr>
      </w:pPr>
      <w:proofErr w:type="spellStart"/>
      <w:r>
        <w:rPr>
          <w:color w:val="000000"/>
          <w:spacing w:val="4"/>
          <w:sz w:val="22"/>
          <w:szCs w:val="22"/>
          <w:lang w:val="en-US"/>
        </w:rPr>
        <w:t>Sofern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nur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ein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Elternteil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der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deutschen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Nationalitat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angehbrte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ist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 die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Frage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, ob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Sie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ein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Bekenntnis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zum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deutschen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Volkstum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abgegeben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haben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allein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nach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der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ersten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Alternative </w:t>
      </w:r>
      <w:proofErr w:type="spellStart"/>
      <w:r>
        <w:rPr>
          <w:color w:val="000000"/>
          <w:spacing w:val="6"/>
          <w:sz w:val="22"/>
          <w:szCs w:val="22"/>
          <w:lang w:val="en-US"/>
        </w:rPr>
        <w:t>dieser</w:t>
      </w:r>
      <w:proofErr w:type="spellEnd"/>
      <w:r>
        <w:rPr>
          <w:color w:val="000000"/>
          <w:spacing w:val="6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6"/>
          <w:sz w:val="22"/>
          <w:szCs w:val="22"/>
          <w:lang w:val="en-US"/>
        </w:rPr>
        <w:t>Vorschrift</w:t>
      </w:r>
      <w:proofErr w:type="spellEnd"/>
      <w:r>
        <w:rPr>
          <w:color w:val="000000"/>
          <w:spacing w:val="6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6"/>
          <w:sz w:val="22"/>
          <w:szCs w:val="22"/>
          <w:lang w:val="en-US"/>
        </w:rPr>
        <w:t>zu</w:t>
      </w:r>
      <w:proofErr w:type="spellEnd"/>
      <w:r>
        <w:rPr>
          <w:color w:val="000000"/>
          <w:spacing w:val="6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6"/>
          <w:sz w:val="22"/>
          <w:szCs w:val="22"/>
          <w:lang w:val="en-US"/>
        </w:rPr>
        <w:t>beurteilen</w:t>
      </w:r>
      <w:proofErr w:type="spellEnd"/>
      <w:r>
        <w:rPr>
          <w:color w:val="000000"/>
          <w:spacing w:val="6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6"/>
          <w:sz w:val="22"/>
          <w:szCs w:val="22"/>
          <w:lang w:val="en-US"/>
        </w:rPr>
        <w:t>denn</w:t>
      </w:r>
      <w:proofErr w:type="spellEnd"/>
      <w:r>
        <w:rPr>
          <w:color w:val="000000"/>
          <w:spacing w:val="6"/>
          <w:sz w:val="22"/>
          <w:szCs w:val="22"/>
          <w:lang w:val="en-US"/>
        </w:rPr>
        <w:t xml:space="preserve"> fur die </w:t>
      </w:r>
      <w:proofErr w:type="spellStart"/>
      <w:r>
        <w:rPr>
          <w:color w:val="000000"/>
          <w:spacing w:val="6"/>
          <w:sz w:val="22"/>
          <w:szCs w:val="22"/>
          <w:lang w:val="en-US"/>
        </w:rPr>
        <w:t>Eintragung</w:t>
      </w:r>
      <w:proofErr w:type="spellEnd"/>
      <w:r>
        <w:rPr>
          <w:color w:val="000000"/>
          <w:spacing w:val="6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6"/>
          <w:sz w:val="22"/>
          <w:szCs w:val="22"/>
          <w:lang w:val="en-US"/>
        </w:rPr>
        <w:t>der</w:t>
      </w:r>
      <w:proofErr w:type="spellEnd"/>
      <w:r>
        <w:rPr>
          <w:color w:val="000000"/>
          <w:spacing w:val="6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6"/>
          <w:sz w:val="22"/>
          <w:szCs w:val="22"/>
          <w:lang w:val="en-US"/>
        </w:rPr>
        <w:t>Nationalitat</w:t>
      </w:r>
      <w:proofErr w:type="spellEnd"/>
      <w:r>
        <w:rPr>
          <w:color w:val="000000"/>
          <w:spacing w:val="6"/>
          <w:sz w:val="22"/>
          <w:szCs w:val="22"/>
          <w:lang w:val="en-US"/>
        </w:rPr>
        <w:t xml:space="preserve"> in den </w:t>
      </w:r>
      <w:proofErr w:type="spellStart"/>
      <w:r>
        <w:rPr>
          <w:color w:val="000000"/>
          <w:spacing w:val="6"/>
          <w:sz w:val="22"/>
          <w:szCs w:val="22"/>
          <w:lang w:val="en-US"/>
        </w:rPr>
        <w:t>ersten</w:t>
      </w:r>
      <w:proofErr w:type="spellEnd"/>
      <w:r>
        <w:rPr>
          <w:color w:val="000000"/>
          <w:spacing w:val="6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Inlandspass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war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eine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Erklarung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erforderlich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wenn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die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Eltern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unterschiedlichen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Nationalitaten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3"/>
          <w:sz w:val="22"/>
          <w:szCs w:val="22"/>
          <w:lang w:val="en-US"/>
        </w:rPr>
        <w:t>angehoren</w:t>
      </w:r>
      <w:proofErr w:type="spellEnd"/>
      <w:r>
        <w:rPr>
          <w:color w:val="000000"/>
          <w:spacing w:val="-3"/>
          <w:sz w:val="22"/>
          <w:szCs w:val="22"/>
          <w:lang w:val="en-US"/>
        </w:rPr>
        <w:t>.</w:t>
      </w:r>
    </w:p>
    <w:p w:rsidR="00000000" w:rsidRPr="003709DD" w:rsidRDefault="003709DD">
      <w:pPr>
        <w:shd w:val="clear" w:color="auto" w:fill="FFFFFF"/>
        <w:spacing w:before="245" w:line="254" w:lineRule="exact"/>
        <w:ind w:left="24"/>
        <w:rPr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Nach</w:t>
      </w:r>
      <w:proofErr w:type="spellEnd"/>
      <w:r>
        <w:rPr>
          <w:color w:val="000000"/>
          <w:sz w:val="22"/>
          <w:szCs w:val="22"/>
          <w:lang w:val="en-US"/>
        </w:rPr>
        <w:t xml:space="preserve"> den </w:t>
      </w:r>
      <w:proofErr w:type="spellStart"/>
      <w:r>
        <w:rPr>
          <w:color w:val="000000"/>
          <w:sz w:val="22"/>
          <w:szCs w:val="22"/>
          <w:lang w:val="en-US"/>
        </w:rPr>
        <w:t>Verordnungen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uber</w:t>
      </w:r>
      <w:proofErr w:type="spellEnd"/>
      <w:r>
        <w:rPr>
          <w:color w:val="000000"/>
          <w:sz w:val="22"/>
          <w:szCs w:val="22"/>
          <w:lang w:val="en-US"/>
        </w:rPr>
        <w:t xml:space="preserve"> das </w:t>
      </w:r>
      <w:proofErr w:type="spellStart"/>
      <w:r>
        <w:rPr>
          <w:color w:val="000000"/>
          <w:sz w:val="22"/>
          <w:szCs w:val="22"/>
          <w:lang w:val="en-US"/>
        </w:rPr>
        <w:t>Passsystem</w:t>
      </w:r>
      <w:proofErr w:type="spellEnd"/>
      <w:r>
        <w:rPr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color w:val="000000"/>
          <w:sz w:val="22"/>
          <w:szCs w:val="22"/>
          <w:lang w:val="en-US"/>
        </w:rPr>
        <w:t>der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ehemaligen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UdS</w:t>
      </w:r>
      <w:r>
        <w:rPr>
          <w:color w:val="000000"/>
          <w:sz w:val="22"/>
          <w:szCs w:val="22"/>
          <w:lang w:val="en-US"/>
        </w:rPr>
        <w:t>SR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mussten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vom</w:t>
      </w:r>
      <w:proofErr w:type="spellEnd"/>
      <w:r>
        <w:rPr>
          <w:color w:val="000000"/>
          <w:sz w:val="22"/>
          <w:szCs w:val="22"/>
          <w:lang w:val="en-US"/>
        </w:rPr>
        <w:t xml:space="preserve"> 16.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color w:val="000000"/>
          <w:spacing w:val="1"/>
          <w:sz w:val="22"/>
          <w:szCs w:val="22"/>
          <w:lang w:val="en-US"/>
        </w:rPr>
        <w:t>Lebensjahr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an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alle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Burger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einen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Pass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besitzen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>.</w:t>
      </w:r>
      <w:proofErr w:type="gram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color w:val="000000"/>
          <w:spacing w:val="1"/>
          <w:sz w:val="22"/>
          <w:szCs w:val="22"/>
          <w:lang w:val="en-US"/>
        </w:rPr>
        <w:t>Dieser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Pass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musste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beantragt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werden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>.</w:t>
      </w:r>
      <w:proofErr w:type="gram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Gehorten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beide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Elternteile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derselben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Nationalitat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an,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wurde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bei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Erstausstellung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des Passes die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Nationalitat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Eltern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in den Pass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eingetragen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. Die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M</w:t>
      </w:r>
      <w:r>
        <w:rPr>
          <w:color w:val="000000"/>
          <w:spacing w:val="1"/>
          <w:sz w:val="22"/>
          <w:szCs w:val="22"/>
          <w:lang w:val="en-US"/>
        </w:rPr>
        <w:t>oglichkeit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eine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andere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Nationalitat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eintragen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lassen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bestand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nicht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000000" w:rsidRPr="003709DD" w:rsidRDefault="003709DD">
      <w:pPr>
        <w:shd w:val="clear" w:color="auto" w:fill="FFFFFF"/>
        <w:spacing w:before="254" w:line="250" w:lineRule="exact"/>
        <w:ind w:left="14"/>
        <w:rPr>
          <w:lang w:val="en-US"/>
        </w:rPr>
      </w:pPr>
      <w:r>
        <w:rPr>
          <w:color w:val="000000"/>
          <w:spacing w:val="1"/>
          <w:sz w:val="22"/>
          <w:szCs w:val="22"/>
          <w:lang w:val="en-US"/>
        </w:rPr>
        <w:t xml:space="preserve">In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Ihrem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Inlandspass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aus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dem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Jahr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2002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sowie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dem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derzeit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gultigen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Inlandspass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aus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dem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Jahr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2005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ist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eine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Nationalitat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nicht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verzeichnet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. Aus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diesen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Pa'ssen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kann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dementsprechend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nicht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darauf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geschlossen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werden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dass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auch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in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Ihrem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ersten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Inlandspass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die deutsche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Nationalitat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eingetragen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war.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Zur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Uberprufung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Frage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, ob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Sie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sich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zum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deutschen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Volkstum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bekannt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haben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ist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daher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Nachweis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erforderlich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dass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auch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in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Ihrem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ersten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Inlandsp</w:t>
      </w:r>
      <w:r>
        <w:rPr>
          <w:color w:val="000000"/>
          <w:sz w:val="22"/>
          <w:szCs w:val="22"/>
          <w:lang w:val="en-US"/>
        </w:rPr>
        <w:t>ass</w:t>
      </w:r>
      <w:proofErr w:type="spellEnd"/>
      <w:r>
        <w:rPr>
          <w:color w:val="000000"/>
          <w:sz w:val="22"/>
          <w:szCs w:val="22"/>
          <w:lang w:val="en-US"/>
        </w:rPr>
        <w:t xml:space="preserve">, den </w:t>
      </w:r>
      <w:proofErr w:type="spellStart"/>
      <w:r>
        <w:rPr>
          <w:color w:val="000000"/>
          <w:sz w:val="22"/>
          <w:szCs w:val="22"/>
          <w:lang w:val="en-US"/>
        </w:rPr>
        <w:t>Sie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mit</w:t>
      </w:r>
      <w:proofErr w:type="spellEnd"/>
      <w:r>
        <w:rPr>
          <w:color w:val="000000"/>
          <w:sz w:val="22"/>
          <w:szCs w:val="22"/>
          <w:lang w:val="en-US"/>
        </w:rPr>
        <w:t xml:space="preserve"> 16 </w:t>
      </w:r>
      <w:proofErr w:type="spellStart"/>
      <w:r>
        <w:rPr>
          <w:color w:val="000000"/>
          <w:sz w:val="22"/>
          <w:szCs w:val="22"/>
          <w:lang w:val="en-US"/>
        </w:rPr>
        <w:t>Jahren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erhielten</w:t>
      </w:r>
      <w:proofErr w:type="spellEnd"/>
      <w:r>
        <w:rPr>
          <w:color w:val="000000"/>
          <w:sz w:val="22"/>
          <w:szCs w:val="22"/>
          <w:lang w:val="en-US"/>
        </w:rPr>
        <w:t xml:space="preserve">, die deutsche </w:t>
      </w:r>
      <w:proofErr w:type="spellStart"/>
      <w:r>
        <w:rPr>
          <w:color w:val="000000"/>
          <w:sz w:val="22"/>
          <w:szCs w:val="22"/>
          <w:lang w:val="en-US"/>
        </w:rPr>
        <w:t>Nationaiitat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eingetragen</w:t>
      </w:r>
      <w:proofErr w:type="spellEnd"/>
      <w:r>
        <w:rPr>
          <w:color w:val="000000"/>
          <w:sz w:val="22"/>
          <w:szCs w:val="22"/>
          <w:lang w:val="en-US"/>
        </w:rPr>
        <w:t xml:space="preserve"> war. </w:t>
      </w:r>
      <w:proofErr w:type="spellStart"/>
      <w:proofErr w:type="gramStart"/>
      <w:r>
        <w:rPr>
          <w:color w:val="000000"/>
          <w:sz w:val="22"/>
          <w:szCs w:val="22"/>
          <w:lang w:val="en-US"/>
        </w:rPr>
        <w:t>Diesen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Nachweis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haben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Sie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nicht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erbracht</w:t>
      </w:r>
      <w:proofErr w:type="spellEnd"/>
      <w:r>
        <w:rPr>
          <w:color w:val="000000"/>
          <w:sz w:val="22"/>
          <w:szCs w:val="22"/>
          <w:lang w:val="en-US"/>
        </w:rPr>
        <w:t>.</w:t>
      </w:r>
      <w:proofErr w:type="gramEnd"/>
    </w:p>
    <w:p w:rsidR="00000000" w:rsidRPr="003709DD" w:rsidRDefault="003709DD">
      <w:pPr>
        <w:shd w:val="clear" w:color="auto" w:fill="FFFFFF"/>
        <w:spacing w:before="494" w:line="254" w:lineRule="exact"/>
        <w:ind w:left="19" w:right="72"/>
        <w:jc w:val="both"/>
        <w:rPr>
          <w:lang w:val="en-US"/>
        </w:rPr>
      </w:pPr>
      <w:r>
        <w:rPr>
          <w:color w:val="000000"/>
          <w:spacing w:val="-1"/>
          <w:sz w:val="22"/>
          <w:szCs w:val="22"/>
          <w:lang w:val="en-US"/>
        </w:rPr>
        <w:t xml:space="preserve">Aus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diesem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Grund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muss fur die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Prufung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zuna'chst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davon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ausgegangen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werden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dass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in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Ihrem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ersten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Inlandspass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eine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andere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Nationalitat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color w:val="000000"/>
          <w:spacing w:val="1"/>
          <w:sz w:val="22"/>
          <w:szCs w:val="22"/>
          <w:lang w:val="en-US"/>
        </w:rPr>
        <w:t>a</w:t>
      </w:r>
      <w:r>
        <w:rPr>
          <w:color w:val="000000"/>
          <w:spacing w:val="1"/>
          <w:sz w:val="22"/>
          <w:szCs w:val="22"/>
          <w:lang w:val="en-US"/>
        </w:rPr>
        <w:t>ls</w:t>
      </w:r>
      <w:proofErr w:type="spellEnd"/>
      <w:proofErr w:type="gramEnd"/>
      <w:r>
        <w:rPr>
          <w:color w:val="000000"/>
          <w:spacing w:val="1"/>
          <w:sz w:val="22"/>
          <w:szCs w:val="22"/>
          <w:lang w:val="en-US"/>
        </w:rPr>
        <w:t xml:space="preserve"> die deutsche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eingetragen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war.</w:t>
      </w:r>
    </w:p>
    <w:p w:rsidR="00000000" w:rsidRPr="003709DD" w:rsidRDefault="003709DD">
      <w:pPr>
        <w:shd w:val="clear" w:color="auto" w:fill="FFFFFF"/>
        <w:spacing w:before="374" w:line="254" w:lineRule="exact"/>
        <w:ind w:left="10"/>
        <w:rPr>
          <w:lang w:val="en-US"/>
        </w:rPr>
      </w:pPr>
      <w:r>
        <w:rPr>
          <w:color w:val="000000"/>
          <w:sz w:val="22"/>
          <w:szCs w:val="22"/>
          <w:lang w:val="en-US"/>
        </w:rPr>
        <w:t xml:space="preserve">In </w:t>
      </w:r>
      <w:proofErr w:type="spellStart"/>
      <w:r>
        <w:rPr>
          <w:color w:val="000000"/>
          <w:sz w:val="22"/>
          <w:szCs w:val="22"/>
          <w:lang w:val="en-US"/>
        </w:rPr>
        <w:t>der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Angabe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einer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anderen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  <w:lang w:val="en-US"/>
        </w:rPr>
        <w:t>als</w:t>
      </w:r>
      <w:proofErr w:type="spellEnd"/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deutschen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Nationalitat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gegenuber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amtlichen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Stellen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liegt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aber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grundsatzlich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ein</w:t>
      </w:r>
      <w:proofErr w:type="spellEnd"/>
      <w:r>
        <w:rPr>
          <w:color w:val="000000"/>
          <w:sz w:val="22"/>
          <w:szCs w:val="22"/>
          <w:lang w:val="en-US"/>
        </w:rPr>
        <w:t xml:space="preserve"> die deutsche </w:t>
      </w:r>
      <w:proofErr w:type="spellStart"/>
      <w:r>
        <w:rPr>
          <w:color w:val="000000"/>
          <w:sz w:val="22"/>
          <w:szCs w:val="22"/>
          <w:lang w:val="en-US"/>
        </w:rPr>
        <w:t>Volkszugehbrigkeit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ausschlieSendes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Gegenbekenntnis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einem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anderen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Volkstum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000000" w:rsidRPr="003709DD" w:rsidRDefault="003709DD">
      <w:pPr>
        <w:shd w:val="clear" w:color="auto" w:fill="FFFFFF"/>
        <w:spacing w:before="10" w:line="250" w:lineRule="exact"/>
        <w:rPr>
          <w:lang w:val="en-US"/>
        </w:rPr>
      </w:pPr>
      <w:r>
        <w:rPr>
          <w:color w:val="000000"/>
          <w:spacing w:val="1"/>
          <w:sz w:val="22"/>
          <w:szCs w:val="22"/>
          <w:lang w:val="en-US"/>
        </w:rPr>
        <w:t xml:space="preserve">Dieses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Gegenbeke</w:t>
      </w:r>
      <w:r>
        <w:rPr>
          <w:color w:val="000000"/>
          <w:spacing w:val="1"/>
          <w:sz w:val="22"/>
          <w:szCs w:val="22"/>
          <w:lang w:val="en-US"/>
        </w:rPr>
        <w:t>nntnis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ist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auch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nicht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  <w:lang w:val="en-US"/>
        </w:rPr>
        <w:t>§</w:t>
      </w:r>
      <w:r>
        <w:rPr>
          <w:color w:val="000000"/>
          <w:spacing w:val="1"/>
          <w:sz w:val="22"/>
          <w:szCs w:val="22"/>
          <w:lang w:val="en-US"/>
        </w:rPr>
        <w:t xml:space="preserve"> 6 Abs. 2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Satz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5 BVFG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unerheblich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weil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die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Erklarung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zur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deutschen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Nationalitat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durch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die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Angabe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des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deutschen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Volkstums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bei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Ausstellung</w:t>
      </w:r>
      <w:proofErr w:type="spellEnd"/>
      <w:r>
        <w:rPr>
          <w:color w:val="000000"/>
          <w:sz w:val="22"/>
          <w:szCs w:val="22"/>
          <w:lang w:val="en-US"/>
        </w:rPr>
        <w:t xml:space="preserve"> des </w:t>
      </w:r>
      <w:proofErr w:type="spellStart"/>
      <w:r>
        <w:rPr>
          <w:color w:val="000000"/>
          <w:sz w:val="22"/>
          <w:szCs w:val="22"/>
          <w:lang w:val="en-US"/>
        </w:rPr>
        <w:t>ersten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Inlandspasses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mit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schwerwiegenden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beruflichen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oder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wirtschaftlichen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Nachtei</w:t>
      </w:r>
      <w:r>
        <w:rPr>
          <w:color w:val="000000"/>
          <w:spacing w:val="1"/>
          <w:sz w:val="22"/>
          <w:szCs w:val="22"/>
          <w:lang w:val="en-US"/>
        </w:rPr>
        <w:t>len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verbunden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gewesen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ware und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Sie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zwangslaufig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Ihr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Wahlrecht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so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wie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geschehen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ha'tten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ausuben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mussen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color w:val="000000"/>
          <w:spacing w:val="-1"/>
          <w:sz w:val="22"/>
          <w:szCs w:val="22"/>
          <w:lang w:val="en-US"/>
        </w:rPr>
        <w:t>Denn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es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trifft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nicht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zu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dass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ein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Bekenntnis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zum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deutschen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Volkstum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damals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gravierenden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Benachteiligungen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im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gesellschaftlichen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Leben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gefuhrt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ha'tte</w:t>
      </w:r>
      <w:proofErr w:type="spellEnd"/>
      <w:r>
        <w:rPr>
          <w:color w:val="000000"/>
          <w:sz w:val="22"/>
          <w:szCs w:val="22"/>
          <w:lang w:val="en-US"/>
        </w:rPr>
        <w:t>.</w:t>
      </w:r>
      <w:proofErr w:type="gramEnd"/>
    </w:p>
    <w:p w:rsidR="00000000" w:rsidRPr="003709DD" w:rsidRDefault="003709DD">
      <w:pPr>
        <w:shd w:val="clear" w:color="auto" w:fill="FFFFFF"/>
        <w:spacing w:before="240" w:line="259" w:lineRule="exact"/>
        <w:ind w:left="10"/>
        <w:rPr>
          <w:lang w:val="en-US"/>
        </w:rPr>
      </w:pPr>
      <w:r>
        <w:rPr>
          <w:color w:val="000000"/>
          <w:sz w:val="22"/>
          <w:szCs w:val="22"/>
          <w:lang w:val="en-US"/>
        </w:rPr>
        <w:t xml:space="preserve">Die </w:t>
      </w:r>
      <w:proofErr w:type="spellStart"/>
      <w:r>
        <w:rPr>
          <w:color w:val="000000"/>
          <w:sz w:val="22"/>
          <w:szCs w:val="22"/>
          <w:lang w:val="en-US"/>
        </w:rPr>
        <w:t>Erklarung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einer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anderen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Nationalitat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  <w:lang w:val="en-US"/>
        </w:rPr>
        <w:t>als</w:t>
      </w:r>
      <w:proofErr w:type="spellEnd"/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deutschen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verliert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ihre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Ausschlusswirkung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pacing w:val="1"/>
          <w:sz w:val="22"/>
          <w:szCs w:val="22"/>
          <w:lang w:val="en-US"/>
        </w:rPr>
        <w:t xml:space="preserve">in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Bezug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auf die deutsche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Volkszugehorigkeit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auch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nicht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nachtraglich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durch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eine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Anderung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der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Nationalitatseintragung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color w:val="000000"/>
          <w:spacing w:val="1"/>
          <w:sz w:val="22"/>
          <w:szCs w:val="22"/>
          <w:lang w:val="en-US"/>
        </w:rPr>
        <w:t>Denn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  <w:lang w:val="en-US"/>
        </w:rPr>
        <w:t>§</w:t>
      </w:r>
      <w:r>
        <w:rPr>
          <w:color w:val="000000"/>
          <w:spacing w:val="1"/>
          <w:sz w:val="22"/>
          <w:szCs w:val="22"/>
          <w:lang w:val="en-US"/>
        </w:rPr>
        <w:t xml:space="preserve"> 6 Abs. 2 BVFG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fordert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bis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zur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Aussied</w:t>
      </w:r>
      <w:r>
        <w:rPr>
          <w:color w:val="000000"/>
          <w:spacing w:val="1"/>
          <w:sz w:val="22"/>
          <w:szCs w:val="22"/>
          <w:lang w:val="en-US"/>
        </w:rPr>
        <w:t>lung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ein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durchgangiges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Bekenntnis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zur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deutschen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Nationalitat</w:t>
      </w:r>
      <w:proofErr w:type="spellEnd"/>
      <w:r>
        <w:rPr>
          <w:color w:val="000000"/>
          <w:sz w:val="22"/>
          <w:szCs w:val="22"/>
          <w:lang w:val="en-US"/>
        </w:rPr>
        <w:t>.</w:t>
      </w:r>
      <w:proofErr w:type="gramEnd"/>
    </w:p>
    <w:p w:rsidR="00000000" w:rsidRPr="003709DD" w:rsidRDefault="003709DD">
      <w:pPr>
        <w:shd w:val="clear" w:color="auto" w:fill="FFFFFF"/>
        <w:spacing w:before="245" w:line="254" w:lineRule="exact"/>
        <w:rPr>
          <w:lang w:val="en-US"/>
        </w:rPr>
      </w:pPr>
      <w:proofErr w:type="spellStart"/>
      <w:r>
        <w:rPr>
          <w:color w:val="000000"/>
          <w:spacing w:val="-1"/>
          <w:sz w:val="22"/>
          <w:szCs w:val="22"/>
          <w:lang w:val="en-US"/>
        </w:rPr>
        <w:t>Selbst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wenn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eine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Anderung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des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Nationalitatseintrages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nicht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erfolgt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sein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sollte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kb'nnte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Ihrem</w:t>
      </w:r>
      <w:proofErr w:type="spellEnd"/>
      <w:r>
        <w:rPr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Antrag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auf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Erteilung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eines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Aufnahmebescheides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nicht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entsprochen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werden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weil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Sie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nicht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durch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Vorlage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entsprechender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Dokumente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nachweisen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konnten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dass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Sie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sich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bereits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fruher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schon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zur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deutschen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Nationalitat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erklart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haben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000000" w:rsidRPr="003709DD" w:rsidRDefault="003709DD">
      <w:pPr>
        <w:shd w:val="clear" w:color="auto" w:fill="FFFFFF"/>
        <w:spacing w:before="245" w:line="254" w:lineRule="exact"/>
        <w:ind w:right="10"/>
        <w:jc w:val="both"/>
        <w:rPr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Somit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handelt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sich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bei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Ihnen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nicht</w:t>
      </w:r>
      <w:proofErr w:type="spellEnd"/>
      <w:r>
        <w:rPr>
          <w:color w:val="000000"/>
          <w:sz w:val="22"/>
          <w:szCs w:val="22"/>
          <w:lang w:val="en-US"/>
        </w:rPr>
        <w:t xml:space="preserve"> um </w:t>
      </w:r>
      <w:proofErr w:type="spellStart"/>
      <w:r>
        <w:rPr>
          <w:color w:val="000000"/>
          <w:sz w:val="22"/>
          <w:szCs w:val="22"/>
          <w:lang w:val="en-US"/>
        </w:rPr>
        <w:t>einen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deutschen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Volkszugehorigen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im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Sinne</w:t>
      </w:r>
      <w:proofErr w:type="spellEnd"/>
      <w:r>
        <w:rPr>
          <w:color w:val="000000"/>
          <w:sz w:val="22"/>
          <w:szCs w:val="22"/>
          <w:lang w:val="en-US"/>
        </w:rPr>
        <w:t xml:space="preserve"> des </w:t>
      </w:r>
      <w:r>
        <w:rPr>
          <w:rFonts w:cs="Times New Roman"/>
          <w:color w:val="000000"/>
          <w:sz w:val="22"/>
          <w:szCs w:val="22"/>
          <w:lang w:val="en-US"/>
        </w:rPr>
        <w:t>§</w:t>
      </w:r>
      <w:r>
        <w:rPr>
          <w:color w:val="000000"/>
          <w:sz w:val="22"/>
          <w:szCs w:val="22"/>
          <w:lang w:val="en-US"/>
        </w:rPr>
        <w:t xml:space="preserve"> 6 </w:t>
      </w:r>
      <w:r>
        <w:rPr>
          <w:color w:val="000000"/>
          <w:spacing w:val="5"/>
          <w:sz w:val="22"/>
          <w:szCs w:val="22"/>
          <w:lang w:val="en-US"/>
        </w:rPr>
        <w:t>Abs. 2 BVFG.</w:t>
      </w:r>
      <w:proofErr w:type="gram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Sie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erfullen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nicht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die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Voraus</w:t>
      </w:r>
      <w:r>
        <w:rPr>
          <w:color w:val="000000"/>
          <w:spacing w:val="5"/>
          <w:sz w:val="22"/>
          <w:szCs w:val="22"/>
          <w:lang w:val="en-US"/>
        </w:rPr>
        <w:t>setzungen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, um </w:t>
      </w:r>
      <w:proofErr w:type="spellStart"/>
      <w:proofErr w:type="gramStart"/>
      <w:r>
        <w:rPr>
          <w:color w:val="000000"/>
          <w:spacing w:val="5"/>
          <w:sz w:val="22"/>
          <w:szCs w:val="22"/>
          <w:lang w:val="en-US"/>
        </w:rPr>
        <w:t>als</w:t>
      </w:r>
      <w:proofErr w:type="spellEnd"/>
      <w:proofErr w:type="gram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Spataussiedler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gemafc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r>
        <w:rPr>
          <w:rFonts w:cs="Times New Roman"/>
          <w:color w:val="000000"/>
          <w:spacing w:val="5"/>
          <w:sz w:val="22"/>
          <w:szCs w:val="22"/>
          <w:lang w:val="en-US"/>
        </w:rPr>
        <w:t>§</w:t>
      </w:r>
      <w:r>
        <w:rPr>
          <w:color w:val="000000"/>
          <w:spacing w:val="5"/>
          <w:sz w:val="22"/>
          <w:szCs w:val="22"/>
          <w:lang w:val="en-US"/>
        </w:rPr>
        <w:t xml:space="preserve"> 4 </w:t>
      </w:r>
      <w:r>
        <w:rPr>
          <w:color w:val="000000"/>
          <w:sz w:val="22"/>
          <w:szCs w:val="22"/>
          <w:lang w:val="en-US"/>
        </w:rPr>
        <w:t xml:space="preserve">BVFG </w:t>
      </w:r>
      <w:proofErr w:type="spellStart"/>
      <w:r>
        <w:rPr>
          <w:color w:val="000000"/>
          <w:sz w:val="22"/>
          <w:szCs w:val="22"/>
          <w:lang w:val="en-US"/>
        </w:rPr>
        <w:t>i.V.m</w:t>
      </w:r>
      <w:proofErr w:type="spellEnd"/>
      <w:r>
        <w:rPr>
          <w:color w:val="000000"/>
          <w:sz w:val="22"/>
          <w:szCs w:val="22"/>
          <w:lang w:val="en-US"/>
        </w:rPr>
        <w:t xml:space="preserve">. </w:t>
      </w:r>
      <w:r>
        <w:rPr>
          <w:rFonts w:cs="Times New Roman"/>
          <w:color w:val="000000"/>
          <w:sz w:val="22"/>
          <w:szCs w:val="22"/>
          <w:lang w:val="en-US"/>
        </w:rPr>
        <w:t>§</w:t>
      </w:r>
      <w:r>
        <w:rPr>
          <w:color w:val="000000"/>
          <w:sz w:val="22"/>
          <w:szCs w:val="22"/>
          <w:lang w:val="en-US"/>
        </w:rPr>
        <w:t xml:space="preserve"> 6 BVFG </w:t>
      </w:r>
      <w:proofErr w:type="spellStart"/>
      <w:r>
        <w:rPr>
          <w:color w:val="000000"/>
          <w:sz w:val="22"/>
          <w:szCs w:val="22"/>
          <w:lang w:val="en-US"/>
        </w:rPr>
        <w:t>anerkannt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werden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kbnnen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000000" w:rsidRPr="003709DD" w:rsidRDefault="003709DD">
      <w:pPr>
        <w:shd w:val="clear" w:color="auto" w:fill="FFFFFF"/>
        <w:spacing w:before="250" w:line="254" w:lineRule="exact"/>
        <w:ind w:left="10" w:right="10"/>
        <w:jc w:val="both"/>
        <w:rPr>
          <w:lang w:val="en-US"/>
        </w:rPr>
      </w:pPr>
      <w:r>
        <w:rPr>
          <w:color w:val="000000"/>
          <w:spacing w:val="1"/>
          <w:sz w:val="22"/>
          <w:szCs w:val="22"/>
          <w:lang w:val="en-US"/>
        </w:rPr>
        <w:t xml:space="preserve">Die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Erteilung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eines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Aufnahmebescheides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nach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  <w:lang w:val="en-US"/>
        </w:rPr>
        <w:t>§§</w:t>
      </w:r>
      <w:r>
        <w:rPr>
          <w:color w:val="000000"/>
          <w:spacing w:val="1"/>
          <w:sz w:val="22"/>
          <w:szCs w:val="22"/>
          <w:lang w:val="en-US"/>
        </w:rPr>
        <w:t xml:space="preserve"> 26, 27 Abs. 1, 28 Abs. 1 und 2 BVFG </w:t>
      </w:r>
      <w:proofErr w:type="spellStart"/>
      <w:proofErr w:type="gramStart"/>
      <w:r>
        <w:rPr>
          <w:color w:val="000000"/>
          <w:spacing w:val="1"/>
          <w:sz w:val="22"/>
          <w:szCs w:val="22"/>
          <w:lang w:val="en-US"/>
        </w:rPr>
        <w:t>ist</w:t>
      </w:r>
      <w:proofErr w:type="spellEnd"/>
      <w:proofErr w:type="gram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  <w:lang w:val="en-US"/>
        </w:rPr>
        <w:t>abzulehnen</w:t>
      </w:r>
      <w:proofErr w:type="spellEnd"/>
      <w:r>
        <w:rPr>
          <w:color w:val="000000"/>
          <w:spacing w:val="-2"/>
          <w:sz w:val="22"/>
          <w:szCs w:val="22"/>
          <w:lang w:val="en-US"/>
        </w:rPr>
        <w:t>.</w:t>
      </w:r>
    </w:p>
    <w:p w:rsidR="00000000" w:rsidRPr="003709DD" w:rsidRDefault="003709DD">
      <w:pPr>
        <w:shd w:val="clear" w:color="auto" w:fill="FFFFFF"/>
        <w:spacing w:before="514"/>
        <w:ind w:left="14"/>
        <w:rPr>
          <w:lang w:val="en-US"/>
        </w:rPr>
      </w:pPr>
      <w:proofErr w:type="spellStart"/>
      <w:r>
        <w:rPr>
          <w:b/>
          <w:bCs/>
          <w:color w:val="000000"/>
          <w:spacing w:val="-1"/>
          <w:sz w:val="22"/>
          <w:szCs w:val="22"/>
          <w:u w:val="single"/>
          <w:lang w:val="en-US"/>
        </w:rPr>
        <w:t>Rechtsbehelfsbelehrung</w:t>
      </w:r>
      <w:proofErr w:type="spellEnd"/>
      <w:r>
        <w:rPr>
          <w:b/>
          <w:bCs/>
          <w:color w:val="000000"/>
          <w:spacing w:val="-1"/>
          <w:sz w:val="22"/>
          <w:szCs w:val="22"/>
          <w:u w:val="single"/>
          <w:lang w:val="en-US"/>
        </w:rPr>
        <w:t>:</w:t>
      </w:r>
    </w:p>
    <w:p w:rsidR="003709DD" w:rsidRPr="003709DD" w:rsidRDefault="003709DD">
      <w:pPr>
        <w:shd w:val="clear" w:color="auto" w:fill="FFFFFF"/>
        <w:spacing w:before="226" w:line="259" w:lineRule="exact"/>
        <w:ind w:right="34"/>
        <w:jc w:val="both"/>
        <w:rPr>
          <w:lang w:val="en-US"/>
        </w:rPr>
      </w:pPr>
      <w:proofErr w:type="spellStart"/>
      <w:proofErr w:type="gramStart"/>
      <w:r>
        <w:rPr>
          <w:color w:val="000000"/>
          <w:spacing w:val="5"/>
          <w:sz w:val="22"/>
          <w:szCs w:val="22"/>
          <w:lang w:val="en-US"/>
        </w:rPr>
        <w:t>Gegen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diesen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Bescheid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kann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innerha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/b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eines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Monats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nach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Bekanntgabe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5"/>
          <w:sz w:val="22"/>
          <w:szCs w:val="22"/>
          <w:lang w:val="en-US"/>
        </w:rPr>
        <w:t>Widerspruch</w:t>
      </w:r>
      <w:proofErr w:type="spellEnd"/>
      <w:r>
        <w:rPr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erhoben</w:t>
      </w:r>
      <w:proofErr w:type="spellEnd"/>
      <w:r>
        <w:rPr>
          <w:color w:val="000000"/>
          <w:spacing w:val="2"/>
          <w:sz w:val="22"/>
          <w:szCs w:val="22"/>
          <w:lang w:val="en-US"/>
        </w:rPr>
        <w:t>.</w:t>
      </w:r>
      <w:proofErr w:type="gram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color w:val="000000"/>
          <w:spacing w:val="2"/>
          <w:sz w:val="22"/>
          <w:szCs w:val="22"/>
          <w:lang w:val="en-US"/>
        </w:rPr>
        <w:t>werden</w:t>
      </w:r>
      <w:proofErr w:type="spellEnd"/>
      <w:proofErr w:type="gramEnd"/>
      <w:r>
        <w:rPr>
          <w:color w:val="000000"/>
          <w:spacing w:val="2"/>
          <w:sz w:val="22"/>
          <w:szCs w:val="22"/>
          <w:lang w:val="en-US"/>
        </w:rPr>
        <w:t xml:space="preserve">.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Der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Widerspruch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color w:val="000000"/>
          <w:spacing w:val="2"/>
          <w:sz w:val="22"/>
          <w:szCs w:val="22"/>
          <w:lang w:val="en-US"/>
        </w:rPr>
        <w:t>ist</w:t>
      </w:r>
      <w:proofErr w:type="spellEnd"/>
      <w:proofErr w:type="gram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beim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Bundesverwaltungsamt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, 50728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Kbln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pacing w:val="2"/>
          <w:sz w:val="22"/>
          <w:szCs w:val="22"/>
          <w:lang w:val="en-US"/>
        </w:rPr>
        <w:t>schriftlich</w:t>
      </w:r>
      <w:proofErr w:type="spellEnd"/>
      <w:r>
        <w:rPr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oder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zur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Niederschrift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einzulegen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sectPr w:rsidR="003709DD" w:rsidRPr="003709DD">
      <w:type w:val="continuous"/>
      <w:pgSz w:w="11909" w:h="16834"/>
      <w:pgMar w:top="653" w:right="1018" w:bottom="360" w:left="160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9DD"/>
    <w:rsid w:val="0037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2D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2008-07-19T21:56:00Z</dcterms:created>
  <dcterms:modified xsi:type="dcterms:W3CDTF">2008-07-19T21:56:00Z</dcterms:modified>
</cp:coreProperties>
</file>