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Ich</w:t>
      </w:r>
      <w:r>
        <w:rPr>
          <w:rFonts w:ascii="Century Gothic" w:cs="Century Gothic" w:hAnsi="Century Gothic" w:eastAsia="Century Gothic"/>
          <w:sz w:val="24"/>
          <w:szCs w:val="24"/>
        </w:rPr>
        <w:tab/>
        <w:tab/>
        <w:tab/>
        <w:tab/>
        <w:tab/>
        <w:tab/>
      </w:r>
      <w:r>
        <w:rPr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wo</w:t>
      </w:r>
      <w:r>
        <w:rPr>
          <w:rFonts w:ascii="Century Gothic" w:hAnsi="Century Gothic"/>
          <w:sz w:val="24"/>
          <w:szCs w:val="24"/>
          <w:rtl w:val="0"/>
          <w:lang w:val="de-DE"/>
        </w:rPr>
        <w:t>,  28.01.2021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Sehr geehrte Damen und Herren,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in November 2018 habe ich alle Voraussetzungen erf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hlt und in </w:t>
      </w:r>
      <w:r>
        <w:rPr>
          <w:rFonts w:ascii="Century Gothic" w:hAnsi="Century Gothic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Город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die Blaue Karte EU als Aufenthaltstitel bekommen.  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Am 24.11.2020 habe ich den Antrag auf Erteilung einer Niederlassungserlaubnis (unbefristet) in Kreis </w:t>
      </w:r>
      <w:r>
        <w:rPr>
          <w:rFonts w:ascii="Century Gothic" w:hAnsi="Century Gothic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Крайс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in </w:t>
      </w:r>
      <w:r>
        <w:rPr>
          <w:rFonts w:ascii="Century Gothic" w:hAnsi="Century Gothic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Город</w:t>
      </w:r>
      <w:r>
        <w:rPr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2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bei dem Termin mit Herr </w:t>
      </w:r>
      <w:r>
        <w:rPr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PPP</w:t>
      </w:r>
      <w:r>
        <w:rPr>
          <w:rFonts w:ascii="Century Gothic" w:hAnsi="Century Gothic"/>
          <w:sz w:val="24"/>
          <w:szCs w:val="24"/>
          <w:rtl w:val="0"/>
          <w:lang w:val="de-DE"/>
        </w:rPr>
        <w:t>.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Am 26.01.2021 habe ich beim Termin in Kreis </w:t>
      </w:r>
      <w:r>
        <w:rPr>
          <w:rFonts w:ascii="Century Gothic" w:hAnsi="Century Gothic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Крайс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in </w:t>
      </w:r>
      <w:r>
        <w:rPr>
          <w:rFonts w:ascii="Century Gothic" w:hAnsi="Century Gothic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Город</w:t>
      </w:r>
      <w:r>
        <w:rPr>
          <w:rFonts w:ascii="Century Gothic" w:hAnsi="Century Gothic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2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die Niederlassungserlaubnis als Aufenthaltstitel bekommen. Gleichzeitig wurde meine erste AufenthaltstitelBlaue Karte EU ohne Grund rausgenommen.</w:t>
      </w:r>
    </w:p>
    <w:p>
      <w:pPr>
        <w:pStyle w:val="Normal.0"/>
        <w:rPr>
          <w:rFonts w:ascii="Century Gothic" w:cs="Century Gothic" w:hAnsi="Century Gothic" w:eastAsia="Century Gothic"/>
          <w:outline w:val="0"/>
          <w:color w:val="3d3d3d"/>
          <w:sz w:val="24"/>
          <w:szCs w:val="24"/>
          <w:u w:color="3d3d3d"/>
          <w:shd w:val="clear" w:color="auto" w:fill="ffffff"/>
          <w14:textFill>
            <w14:solidFill>
              <w14:srgbClr w14:val="3D3D3D"/>
            </w14:solidFill>
          </w14:textFill>
        </w:rPr>
      </w:pPr>
      <w:r>
        <w:rPr>
          <w:rFonts w:ascii="Century Gothic" w:hAnsi="Century Gothic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Es lagen und liegen keine Gr</w:t>
      </w:r>
      <w:r>
        <w:rPr>
          <w:rFonts w:ascii="Century Gothic" w:hAnsi="Century Gothic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Century Gothic" w:hAnsi="Century Gothic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nde zum Entzug dieser Aufenthaltserlaubnis, die in der </w:t>
      </w:r>
      <w:r>
        <w:rPr>
          <w:rFonts w:ascii="Century Gothic" w:hAnsi="Century Gothic"/>
          <w:outline w:val="0"/>
          <w:color w:val="3d3d3d"/>
          <w:sz w:val="24"/>
          <w:szCs w:val="24"/>
          <w:u w:color="3d3d3d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EU-Richtlinie 2009/50/EG zu finden sind.</w:t>
      </w:r>
    </w:p>
    <w:p>
      <w:pPr>
        <w:pStyle w:val="Normal.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Das Rausn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hme der Aufenthaltstitel Blaue Karte EU ist unrechtm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äß</w:t>
      </w:r>
      <w:r>
        <w:rPr>
          <w:rFonts w:ascii="Century Gothic" w:hAnsi="Century Gothic"/>
          <w:sz w:val="24"/>
          <w:szCs w:val="24"/>
          <w:rtl w:val="0"/>
          <w:lang w:val="de-DE"/>
        </w:rPr>
        <w:t>ig, deshalb bitte ich meine Aufenthaltstitel Blaue Karte EU zur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ckgeben.</w:t>
      </w: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Das Bundesverwaltungsgericht besch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ftigte sich bereits mit der Frage des gleichzeitigen Besitzes mehrerer Aufenthaltstitel. In seinem Urteil 1 C 12.12 vom 19.03.2013(http://www.bverwg.de/entscheidungen/entscheidung.php?ent=190313U1C12.12.0) entschied das Bundesverwaltungsgericht, dass der Erteilung mehrerer Aufenthaltstitel an einen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grunds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tzlich nichts im Wege steht, und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hrte folgende Argumente daf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r.</w:t>
      </w:r>
    </w:p>
    <w:p>
      <w:pPr>
        <w:pStyle w:val="Normal.0"/>
        <w:rPr>
          <w:rFonts w:ascii="Century Gothic" w:cs="Century Gothic" w:hAnsi="Century Gothic" w:eastAsia="Century Gothic"/>
          <w:outline w:val="0"/>
          <w:color w:val="3d3d3d"/>
          <w:sz w:val="24"/>
          <w:szCs w:val="24"/>
          <w:u w:color="3d3d3d"/>
          <w:shd w:val="clear" w:color="auto" w:fill="ffffff"/>
          <w14:textFill>
            <w14:solidFill>
              <w14:srgbClr w14:val="3D3D3D"/>
            </w14:solidFill>
          </w14:textFill>
        </w:rPr>
      </w:pP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Das Aufenthaltsgesetz enth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lt keine allgemeine Regelung, wie zu verfahren ist, wenn ein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die gesetzlichen Voraussetzungen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 mehrere Aufenthaltstitel erf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llt. Soweit 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 xml:space="preserve">§ </w:t>
      </w:r>
      <w:r>
        <w:rPr>
          <w:rFonts w:ascii="Century Gothic" w:hAnsi="Century Gothic"/>
          <w:sz w:val="24"/>
          <w:szCs w:val="24"/>
          <w:rtl w:val="0"/>
          <w:lang w:val="de-DE"/>
        </w:rPr>
        <w:t>4 Absatz 1 Satz 1 AufenthG bestimmt, dass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 die Einreise und den Aufenthalt im Bundesgebiet "eines" Aufenthaltstitels bed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rfen, kann dem nur entnommen werden, dass der Aufenthalt im Bundesgebiet unter einem Erlaubnisvorbehalt steht (BT-Drucksache 15/420 S. 68). Das Erfordernis einer Erlaubnis zum Aufenthalt im Bundesgebiet sagt aber nichts dar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ber aus, ob bei Vorliegen der gesetzlichen Voraussetzungen mehrerer Aufenthaltstitel nur ein Aufenthaltstitel erteilt werden darf. Soweit in der Gesetzesbegr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ndung zum Zuwanderungsgesetz darauf hingewiesen wird, dass "die gesetzliche Grundlage"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 die Erteilung "eines" Aufenthaltstitels auf dem Dokument vermerkt werde (BT-Drucksache 15/420 S. 69), schlie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ß</w:t>
      </w:r>
      <w:r>
        <w:rPr>
          <w:rFonts w:ascii="Century Gothic" w:hAnsi="Century Gothic"/>
          <w:sz w:val="24"/>
          <w:szCs w:val="24"/>
          <w:rtl w:val="0"/>
          <w:lang w:val="de-DE"/>
        </w:rPr>
        <w:t>t dies die Erteilung mehrerer Aufenthaltstitel aufgrund unterschiedlicher Anspruchsgrundlagen nicht aus (Rn. 17a).Hierbei enth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lt 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 xml:space="preserve">§ </w:t>
      </w:r>
      <w:r>
        <w:rPr>
          <w:rFonts w:ascii="Century Gothic" w:hAnsi="Century Gothic"/>
          <w:sz w:val="24"/>
          <w:szCs w:val="24"/>
          <w:rtl w:val="0"/>
          <w:lang w:val="de-DE"/>
        </w:rPr>
        <w:t>19a AufenthG keine Vorschriften, die die Erteilung weiterer Aufenthaltstitel - u.a. der Niederlassungserlaubnis - an einen Inhaber einer Blauen Karte EU untersagen. Genauso schlie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ß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en die Vorschriften dieses Paragraphen die Erteilung einer Blauen Karte EU an einen Inhaber einer Niederlassungserlaubnis nach 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 xml:space="preserve">§ 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19a Abs. 6 AufenthG bzw. Daueraufenthalt-EU nach 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§</w:t>
      </w:r>
      <w:r>
        <w:rPr>
          <w:rFonts w:ascii="Century Gothic" w:hAnsi="Century Gothic"/>
          <w:sz w:val="24"/>
          <w:szCs w:val="24"/>
          <w:rtl w:val="0"/>
          <w:lang w:val="de-DE"/>
        </w:rPr>
        <w:t>9a nicht aus.</w:t>
      </w: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Fonts w:ascii="Century Gothic" w:cs="Century Gothic" w:hAnsi="Century Gothic" w:eastAsia="Century Gothic"/>
          <w:outline w:val="0"/>
          <w:color w:val="3d3d3d"/>
          <w:sz w:val="24"/>
          <w:szCs w:val="24"/>
          <w:u w:color="3d3d3d"/>
          <w:shd w:val="clear" w:color="auto" w:fill="ffffff"/>
          <w14:textFill>
            <w14:solidFill>
              <w14:srgbClr w14:val="3D3D3D"/>
            </w14:solidFill>
          </w14:textFill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Dass einem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- solange das Gesetz nicht eindeutig etwas anderes bestimmt - mehrere Aufenthaltstitel nebeneinander erteilt werden k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ö</w:t>
      </w:r>
      <w:r>
        <w:rPr>
          <w:rFonts w:ascii="Century Gothic" w:hAnsi="Century Gothic"/>
          <w:sz w:val="24"/>
          <w:szCs w:val="24"/>
          <w:rtl w:val="0"/>
          <w:lang w:val="de-DE"/>
        </w:rPr>
        <w:t>nnen, ergibt sich insbesondere aus dem dem Aufenthaltsgesetz zugrunde liegenden Konzept unterschiedlicher Aufenthaltstitel mit jeweils eigenst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ndigen Rechtsfolgen. In Umsetzung dieses Konzepts definiert das Aufenthaltsgesetz verschiedene Aufenthaltstitel (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 xml:space="preserve">§ </w:t>
      </w:r>
      <w:r>
        <w:rPr>
          <w:rFonts w:ascii="Century Gothic" w:hAnsi="Century Gothic"/>
          <w:sz w:val="24"/>
          <w:szCs w:val="24"/>
          <w:rtl w:val="0"/>
          <w:lang w:val="de-DE"/>
        </w:rPr>
        <w:t>4 Absatz 1 Satz 2 AufenthG) und regelt deren Voraussetzungen und Rechtsfolgen (Rn. 19b). Ihrem Wortlaut nach bezieht sich diese Aussage auf jede beliebige Kombination von Aufenthaltstiteln, die durch das Aufenthaltsgesetz nicht ausdr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cklich untersagt ist. Weiterhin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hrt das Bundesverwaltungsgericht vor, dass erst nach der Erteilung beider Aufenthaltstitel der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von diesen Aufenthaltstiteln verbundenen Rechtsvorteilen effektiv Gebrauch machen kann. Der Anspruch auf die Erteilung eines Aufenthaltstitels wirkt allein diese Rechtsvorteile nicht aus. M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sste der Ausl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nder sich stattdessen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 einen der beiden Aufenthaltstitel entscheiden, w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rden ihm hierdurch die nur mit dem anderen Titel verbundenen Rechtsvorteile verlorengehen, obwohl er nach dem Gesetz auch auf diesen Titel und die damit verbundenen Rechtsvorteile einen Anspruch hat.</w:t>
      </w: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Die Blaue Karte EU hat einige Vorteile, z.B. eine 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ngere Nichterl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ö</w:t>
      </w:r>
      <w:r>
        <w:rPr>
          <w:rFonts w:ascii="Century Gothic" w:hAnsi="Century Gothic"/>
          <w:sz w:val="24"/>
          <w:szCs w:val="24"/>
          <w:rtl w:val="0"/>
          <w:lang w:val="de-DE"/>
        </w:rPr>
        <w:t>schensfrist beim eventuellen Aufenthalt im Ausland. Der gleichzeitige Besitz beider Aufenthaltstitel w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rde somit meine aufenthaltsrechtliche Rechtsposition verbessern. </w:t>
      </w: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Ich f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ge auch die Kopie der Dresden Gerichtsentscheidung von Dezember 2020 bei. Das ist derzeitige  Gerichtsentscheidung in Frage der gleichzeitige Besitz von Niederlassungserlaubnis und Blaue Karte EU.</w:t>
      </w: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Quellen:</w:t>
      </w:r>
    </w:p>
    <w:p>
      <w:pPr>
        <w:pStyle w:val="Standard1"/>
        <w:numPr>
          <w:ilvl w:val="0"/>
          <w:numId w:val="2"/>
        </w:numPr>
        <w:bidi w:val="0"/>
        <w:ind w:right="0"/>
        <w:jc w:val="left"/>
        <w:rPr>
          <w:rFonts w:ascii="Century Gothic" w:hAnsi="Century Gothic" w:hint="default"/>
          <w:sz w:val="24"/>
          <w:szCs w:val="24"/>
          <w:rtl w:val="0"/>
          <w:lang w:val="de-DE"/>
        </w:rPr>
      </w:pPr>
      <w:r>
        <w:rPr>
          <w:rFonts w:ascii="Century Gothic" w:hAnsi="Century Gothic" w:hint="default"/>
          <w:sz w:val="24"/>
          <w:szCs w:val="24"/>
          <w:rtl w:val="0"/>
          <w:lang w:val="de-DE"/>
        </w:rPr>
        <w:t>§</w:t>
      </w:r>
      <w:r>
        <w:rPr>
          <w:rFonts w:ascii="Century Gothic" w:hAnsi="Century Gothic"/>
          <w:sz w:val="24"/>
          <w:szCs w:val="24"/>
          <w:rtl w:val="0"/>
          <w:lang w:val="de-DE"/>
        </w:rPr>
        <w:t>19a AufenthG in der g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ltigen Fassung 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(Quelle: http://www.gesetze-im-internet.de/aufenthg_2004/__19a.html)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numPr>
          <w:ilvl w:val="0"/>
          <w:numId w:val="2"/>
        </w:numPr>
        <w:bidi w:val="0"/>
        <w:ind w:right="0"/>
        <w:jc w:val="left"/>
        <w:rPr>
          <w:rFonts w:ascii="Century Gothic" w:hAnsi="Century Gothic" w:hint="default"/>
          <w:sz w:val="24"/>
          <w:szCs w:val="24"/>
          <w:rtl w:val="0"/>
          <w:lang w:val="de-DE"/>
        </w:rPr>
      </w:pPr>
      <w:r>
        <w:rPr>
          <w:rFonts w:ascii="Century Gothic" w:hAnsi="Century Gothic" w:hint="default"/>
          <w:sz w:val="24"/>
          <w:szCs w:val="24"/>
          <w:rtl w:val="0"/>
          <w:lang w:val="de-DE"/>
        </w:rPr>
        <w:t>§</w:t>
      </w:r>
      <w:r>
        <w:rPr>
          <w:rFonts w:ascii="Century Gothic" w:hAnsi="Century Gothic"/>
          <w:sz w:val="24"/>
          <w:szCs w:val="24"/>
          <w:rtl w:val="0"/>
          <w:lang w:val="de-DE"/>
        </w:rPr>
        <w:t>51 AufenthG in der g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ltigen Fassung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 (Quelle: http://www.gesetze-im-internet.de/aufenthg_2004/__51.html)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numPr>
          <w:ilvl w:val="0"/>
          <w:numId w:val="2"/>
        </w:numPr>
        <w:bidi w:val="0"/>
        <w:ind w:right="0"/>
        <w:jc w:val="left"/>
        <w:rPr>
          <w:rFonts w:ascii="Century Gothic" w:hAnsi="Century Gothic" w:hint="default"/>
          <w:sz w:val="24"/>
          <w:szCs w:val="24"/>
          <w:rtl w:val="0"/>
          <w:lang w:val="de-DE"/>
        </w:rPr>
      </w:pPr>
      <w:r>
        <w:rPr>
          <w:rFonts w:ascii="Century Gothic" w:hAnsi="Century Gothic" w:hint="default"/>
          <w:sz w:val="24"/>
          <w:szCs w:val="24"/>
          <w:rtl w:val="0"/>
          <w:lang w:val="de-DE"/>
        </w:rPr>
        <w:t>§</w:t>
      </w:r>
      <w:r>
        <w:rPr>
          <w:rFonts w:ascii="Century Gothic" w:hAnsi="Century Gothic"/>
          <w:sz w:val="24"/>
          <w:szCs w:val="24"/>
          <w:rtl w:val="0"/>
          <w:lang w:val="de-DE"/>
        </w:rPr>
        <w:t>9a AufenthG in der g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sz w:val="24"/>
          <w:szCs w:val="24"/>
          <w:rtl w:val="0"/>
          <w:lang w:val="de-DE"/>
        </w:rPr>
        <w:t>ltigen Fassung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(Quelle: http://www.gesetze-im-internet.de/aufenthg_2004/__9a.html)</w:t>
      </w:r>
    </w:p>
    <w:p>
      <w:pPr>
        <w:pStyle w:val="Standard1"/>
        <w:ind w:left="720" w:firstLine="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de-DE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Urteil BVerwG 1 C 12.12 </w:t>
      </w:r>
    </w:p>
    <w:p>
      <w:pPr>
        <w:pStyle w:val="Standard1"/>
        <w:ind w:left="720" w:firstLine="0"/>
        <w:rPr>
          <w:rStyle w:val="Hyperlink.0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(Quelle: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"http://www.bverwg.de/entscheidungen/pdf/190313U1C12.12.0.pdf"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http://www.bverwg.de/entscheidungen/pdf/190313U1C12.12.0.pdf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)</w:t>
      </w:r>
    </w:p>
    <w:p>
      <w:pPr>
        <w:pStyle w:val="Standard1"/>
        <w:ind w:left="720" w:firstLine="0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de-DE"/>
        </w:rPr>
      </w:pPr>
      <w:r>
        <w:rPr>
          <w:rStyle w:val="Нет"/>
          <w:rFonts w:ascii="Century Gothic" w:hAnsi="Century Gothic"/>
          <w:sz w:val="24"/>
          <w:szCs w:val="24"/>
          <w:rtl w:val="0"/>
          <w:lang w:val="de-DE"/>
        </w:rPr>
        <w:t xml:space="preserve">Urteil BVerwG 1 C 6.11 </w:t>
      </w:r>
    </w:p>
    <w:p>
      <w:pPr>
        <w:pStyle w:val="Standard1"/>
        <w:ind w:left="720" w:firstLine="0"/>
        <w:rPr>
          <w:rStyle w:val="Hyperlink.0"/>
        </w:rPr>
      </w:pPr>
      <w:r>
        <w:rPr>
          <w:rStyle w:val="Hyperlink.0"/>
          <w:rtl w:val="0"/>
          <w:lang w:val="de-DE"/>
        </w:rPr>
        <w:t>(Quelle: http://www.bverwg.de/entscheidungen/pdf/220512U1C6.11.0.pdf)</w:t>
      </w: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Mit freundlichen Gr</w:t>
      </w:r>
      <w:r>
        <w:rPr>
          <w:rStyle w:val="Hyperlink.0"/>
          <w:rtl w:val="0"/>
          <w:lang w:val="de-DE"/>
        </w:rPr>
        <w:t>üß</w:t>
      </w:r>
      <w:r>
        <w:rPr>
          <w:rStyle w:val="Hyperlink.0"/>
          <w:rtl w:val="0"/>
          <w:lang w:val="de-DE"/>
        </w:rPr>
        <w:t>en</w:t>
      </w: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i w:val="1"/>
          <w:iCs w:val="1"/>
          <w:sz w:val="24"/>
          <w:szCs w:val="24"/>
          <w:shd w:val="clear" w:color="auto" w:fill="ffffff"/>
        </w:rPr>
      </w:pPr>
    </w:p>
    <w:p>
      <w:pPr>
        <w:pStyle w:val="Standard1"/>
        <w:spacing w:line="240" w:lineRule="auto"/>
        <w:jc w:val="both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Style w:val="Нет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</w:pPr>
      <w:r>
        <w:rPr>
          <w:rStyle w:val="Нет"/>
          <w:rFonts w:ascii="Century Gothic" w:cs="Century Gothic" w:hAnsi="Century Gothic" w:eastAsia="Century Gothic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1">
    <w:name w:val="Standard1"/>
    <w:next w:val="Standard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entury Gothic" w:cs="Century Gothic" w:hAnsi="Century Gothic" w:eastAsia="Century Gothic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